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283</w:t>
      </w:r>
    </w:p>
    <w:p>
      <w:r>
        <w:t>Bundesgericht (BGE), 1977-01-01, FR</w:t>
      </w:r>
    </w:p>
    <w:p>
      <w:r>
        <w:rPr>
          <w:b/>
        </w:rPr>
        <w:t xml:space="preserve">Quelle: </w:t>
      </w:r>
      <w:r>
        <w:t>https://mcp.opencaselaw.ch/entscheid/bge_103 IV 283</w:t>
      </w:r>
    </w:p>
    <w:p>
      <w:r>
        <w:t>FR: ATF 103 IV 283</w:t>
      </w:r>
    </w:p>
    <w:p>
      <w:r>
        <w:t>IT: DTF 103 IV 283</w:t>
      </w:r>
    </w:p>
    <w:p>
      <w:pPr>
        <w:pStyle w:val="Heading2"/>
      </w:pPr>
      <w:r>
        <w:t>Regeste</w:t>
      </w:r>
    </w:p>
    <w:p>
      <w:r>
        <w:t>Regeste Art. 162 StGB, Art. 13 Bst. f und Bst. g UWG. Begriff des Fabrikations- und Geschäftsgeheimnisses.</w:t>
      </w:r>
    </w:p>
    <w:p>
      <w:pPr>
        <w:pStyle w:val="Heading2"/>
      </w:pPr>
      <w:r>
        <w:t>Erwägungen</w:t>
      </w:r>
    </w:p>
    <w:p>
      <w:r>
        <w:rPr>
          <w:b/>
        </w:rPr>
        <w:t>E. 2</w:t>
      </w:r>
    </w:p>
    <w:p>
      <w:r>
        <w:t>a) Dans la partie de son recours consacrée au pourvoi en nullité et aux moyens qui le fondent, la recourante invoque la fausse application des art. 162 CP et 13 litt. f et g LCD. Elle fait valoir qu'il y a bien eu de la part de M. révélation de secrets de fabrication et de secrets commerciaux qu'il était tenu de garder en vertu d'une obligation contractuelle et que les intimés ont mis à profit cette révélation. Elle invoque également une violation de l'art. 13 litt. e LCD en soutenant que G. et L. ont amené M. à manquer à ses devoirs dans l'accomplissement de son travail chez R. S.A. et qu'ils lui ont offert des avantages qui ne devaient pas lui revenir. b) Conformément à l'art. 162 CP, celui qui aura révélé un secret de fabrication ou un secret commercial qu'il était tenu de garder aux termes d'une obligation légale ou contractuelle, ainsi que celui qui aura mis à profit une telle révélation sont punissables. L'est également, en vertu de la LCD, celui qui aura induit des employés, mandataires ou auxiliaires, à trahir ou surprendre de tels secrets de leur employeur ou mandant, ou qui aura exploité ou divulgué de tels secrets qu'il BGE 103 IV 283 S. 284 a surpris d'une autre manière contraire à la bonne foi (art. 13 litt. f et g LCD). Constitue un secret, au sens du ces dispositions, toute connaissance particulière qui n'est pas de notoriété publique, qui n'est pas facilement accessible, dont un fabricant ou un commerçant a un intérêt légitime à conserver l'exclusivité et qu'en fait il n'entend pas divulguer (cf. ATF 80 IV 27). Il faut entendre par secrets de fabrication et secrets commerciaux des informations qui peuvent jouer un rôle sur le résultat commercial. Par secrets de fabrication, on entend les recettes et moyens de fabrication qui ne sont pas publics et qui revêtent une grande valeur pour le fabricant; par secrets commerciaux, on entend la connaissance de sources d'achat et de ravitaillement, et celles relatives à l'organisation, la calculation du prix, la publicité et la production (cf. MARTIN-ACHARD, FJS 887, p. 3; SCHWANDER, n. 622; HAFTER, Bes. Teil, p. 390). De telles informations ne doivent être tenues secrètes que lorsque le chef d'entreprise a exigé le respect du secret expressément ou tacitement. c) En l'espèce, la recourante invoque une clause du contrat qui la liait à M. et selon laquelle celui-ci s'était engagé à considérer comme confidentiels les instructions, renseignements et informations qui lui seraient communiqués par R. S.A. au sujet de l'outillage, des appareils et des machines qu'elle produit, cet engagement valable pour toute la durée du contrat devait subsister sans limitation de durée après la fin de celui-ci. Le respect du secret avait donc été expressément exigé par la recourante et le champ d'application de celui-ci clairement défini. Si l'on se réfère aux constatations de l'autorité cantonale, qui ne peuvent être remises en cause (art. 277bis al. 1 PPF), on ne peut exclure que M., en participant à la construction de machines semblables dans leur but à celles de R. S.A., ait révélé aux autres intimés des informations constituant des secrets de fabrication ou des secrets commerciaux. Cela peut être notamment déduit de la conservation des plans, puisqu'il ressort des constatations de l'autorité cantonale que des machines ont été construites avec l'aide de ceux-ci, et cela même si elles sont différentes de celles de R. S.A. et si aucune pièce non commerciale des machines E. n'a été exécutée selon ces plans. En effet, dès lors que certains éléments BGE 103 IV 283 S. 285 des machines de R. S.A. ont été adaptés, ils ont été exploités et divulgués. Cela suffit à réaliser l'élément objectif de l'infraction réprimée à l'art. 162 al. 1 CP (ZR 57 p. 25). De plus, les listes de fournisseurs que M. a gardées par-devers lui et probablement utilisées peuvent également, on l'a vu, contenir des renseignements constituant des secrets d'affaires. Si l'autorité cantonale a réellement acquis la conviction qu'il n'en est rien, elle devait indiquer clairement pourquoi sans se limiter à affirmer le contraire, car il s'agit là d'une question de droit. Malgré les différences de conception, qui selon les experts apparaissent à l'examen des machines, on se trouve bien, au vu des constatations de l'autorité cantonale, dans une situation où l'apport de l'expérience professionnelle a constitué une part importante de la prestation de M.; or cette expérience repose en bonne partie sur l'activité déployée durant de nombreuses années au service de R. S.A. et elle lui est si étroitement liée qu'elle représente en soi un secret au sens de l'art. 162 CP (cf. TREADWELL, Der Schutz von Geschäfts- und Fabrikationsgeheimnissen im schweizerischen Wettbewerbsrecht, thèse Zurich 1956, p. 26 ss; DRUEY, in RDS 92 (1973) I 473). L'autorité cantonale relève d'ailleurs elle-même que la connaissance que M. avait des défauts présentés par les machines RT 61 et 62 lui a permis de restreindre au minimum les études de variantes nécessaires à la mise au point de ses propres produits. Dans ces conditions, il était contraire au droit fédéral, en l'état de l'instruction et des constatations de fait, d'exclure l'existence d'infractions aux art. 162 CP et 13 litt. f et g LCD. M. doit donc être renvoyé en jugement et ne saurait bénéficier d'un non-lieu. Il en va de même de L. et de G., car si leur coïnculpé doit être jugé en application de l'art. 162 al. 1 CP, ils doivent l'être également, conformément à l'alinéa 2 de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